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7F4E" w:rsidRPr="00ED7F4E" w:rsidRDefault="00ED7F4E" w:rsidP="00ED7F4E">
      <w:pPr>
        <w:jc w:val="both"/>
        <w:rPr>
          <w:rFonts w:ascii="Arial" w:hAnsi="Arial" w:cs="Arial"/>
          <w:lang w:val="es-CO"/>
        </w:rPr>
      </w:pPr>
      <w:r w:rsidRPr="00ED7F4E">
        <w:rPr>
          <w:rFonts w:ascii="Arial" w:hAnsi="Arial" w:cs="Arial"/>
          <w:lang w:val="es-CO"/>
        </w:rPr>
        <w:t xml:space="preserve">Bogotá, </w:t>
      </w:r>
      <w:r w:rsidR="00194F95">
        <w:rPr>
          <w:rFonts w:ascii="Arial" w:hAnsi="Arial" w:cs="Arial"/>
          <w:lang w:val="es-CO"/>
        </w:rPr>
        <w:t>1</w:t>
      </w:r>
      <w:r w:rsidRPr="00ED7F4E">
        <w:rPr>
          <w:rFonts w:ascii="Arial" w:hAnsi="Arial" w:cs="Arial"/>
          <w:lang w:val="es-CO"/>
        </w:rPr>
        <w:t xml:space="preserve"> de </w:t>
      </w:r>
      <w:r w:rsidR="00194F95">
        <w:rPr>
          <w:rFonts w:ascii="Arial" w:hAnsi="Arial" w:cs="Arial"/>
          <w:lang w:val="es-CO"/>
        </w:rPr>
        <w:t>julio</w:t>
      </w:r>
      <w:r w:rsidRPr="00ED7F4E">
        <w:rPr>
          <w:rFonts w:ascii="Arial" w:hAnsi="Arial" w:cs="Arial"/>
          <w:lang w:val="es-CO"/>
        </w:rPr>
        <w:t xml:space="preserve"> de 201</w:t>
      </w:r>
      <w:r w:rsidR="00194F95">
        <w:rPr>
          <w:rFonts w:ascii="Arial" w:hAnsi="Arial" w:cs="Arial"/>
          <w:lang w:val="es-CO"/>
        </w:rPr>
        <w:t>6</w:t>
      </w:r>
    </w:p>
    <w:p w:rsidR="00ED7F4E" w:rsidRPr="00ED7F4E" w:rsidRDefault="00ED7F4E" w:rsidP="00ED7F4E">
      <w:pPr>
        <w:jc w:val="both"/>
        <w:rPr>
          <w:rFonts w:ascii="Arial" w:hAnsi="Arial" w:cs="Arial"/>
          <w:lang w:val="es-CO"/>
        </w:rPr>
      </w:pPr>
    </w:p>
    <w:p w:rsidR="00ED7F4E" w:rsidRPr="00ED7F4E" w:rsidRDefault="00ED7F4E" w:rsidP="00ED7F4E">
      <w:pPr>
        <w:jc w:val="both"/>
        <w:rPr>
          <w:rFonts w:ascii="Arial" w:hAnsi="Arial" w:cs="Arial"/>
          <w:lang w:val="es-CO"/>
        </w:rPr>
      </w:pPr>
      <w:r w:rsidRPr="00ED7F4E">
        <w:rPr>
          <w:rFonts w:ascii="Arial" w:hAnsi="Arial" w:cs="Arial"/>
          <w:lang w:val="es-CO"/>
        </w:rPr>
        <w:t>Señor</w:t>
      </w:r>
    </w:p>
    <w:p w:rsidR="00194F95" w:rsidRDefault="00194F95" w:rsidP="00ED7F4E">
      <w:pPr>
        <w:jc w:val="both"/>
        <w:rPr>
          <w:rFonts w:ascii="Arial" w:hAnsi="Arial" w:cs="Arial"/>
          <w:b/>
          <w:lang w:val="es-CO"/>
        </w:rPr>
      </w:pPr>
      <w:r w:rsidRPr="00194F95">
        <w:rPr>
          <w:rFonts w:ascii="Arial" w:hAnsi="Arial" w:cs="Arial"/>
          <w:b/>
          <w:lang w:val="es-CO"/>
        </w:rPr>
        <w:t>Jerónimo Rivera Betancur</w:t>
      </w:r>
    </w:p>
    <w:p w:rsidR="00194F95" w:rsidRDefault="00194F95" w:rsidP="00ED7F4E">
      <w:pPr>
        <w:jc w:val="both"/>
        <w:rPr>
          <w:rFonts w:ascii="Arial" w:hAnsi="Arial" w:cs="Arial"/>
          <w:b/>
          <w:lang w:val="es-CO"/>
        </w:rPr>
      </w:pPr>
    </w:p>
    <w:p w:rsidR="00ED7F4E" w:rsidRPr="00ED7F4E" w:rsidRDefault="00ED7F4E" w:rsidP="00ED7F4E">
      <w:pPr>
        <w:jc w:val="both"/>
        <w:rPr>
          <w:rFonts w:ascii="Arial" w:hAnsi="Arial" w:cs="Arial"/>
          <w:lang w:val="es-CO"/>
        </w:rPr>
      </w:pPr>
    </w:p>
    <w:p w:rsidR="00ED7F4E" w:rsidRDefault="00ED7F4E" w:rsidP="00ED7F4E">
      <w:pPr>
        <w:jc w:val="both"/>
        <w:rPr>
          <w:rFonts w:ascii="Arial" w:hAnsi="Arial" w:cs="Arial"/>
          <w:lang w:val="es-CO"/>
        </w:rPr>
      </w:pPr>
      <w:r w:rsidRPr="00ED7F4E">
        <w:rPr>
          <w:rFonts w:ascii="Arial" w:hAnsi="Arial" w:cs="Arial"/>
          <w:lang w:val="es-CO"/>
        </w:rPr>
        <w:t xml:space="preserve">Estimado Señor, </w:t>
      </w:r>
    </w:p>
    <w:p w:rsidR="00ED7F4E" w:rsidRPr="00ED7F4E" w:rsidRDefault="00ED7F4E" w:rsidP="00ED7F4E">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El Ministerio de Cultura, en el cumplimiento de su misión de formular, coordinar e implementar la política cultural del estado colombiano, ha impulsado la expedición de leyes para el sector que han permitido implementar y fortalecer las políticas públicas mediante el desarrollo y la complementariedad de acciones y de recursos en el territorio. Las leyes de cine, patrimonio, bibliotecas públicas, patrimonio sumergido y la ley de espectáculos públicos contienen importantes incentivos tributarios, que han permitido el aumento de recursos para el sector y por tanto para la ejecución de planes, programas y proyectos.</w:t>
      </w:r>
    </w:p>
    <w:p w:rsidR="00541D5A" w:rsidRPr="00194F95" w:rsidRDefault="00541D5A"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 xml:space="preserve">Hoy el sector cultura cuenta con más de 20 fuentes de financiación, las cuales representan, solo con destinación específica, más de 1 billón de pesos anuales para inversión en el sector. Los recursos del ministerio de cultura son una de esas 20 fuentes de financiación. En el nivel territorial el sector cuenta con recursos provenientes, de los Sistemas Generales de Participaciones y de Regalías, de la Estampilla </w:t>
      </w:r>
      <w:proofErr w:type="spellStart"/>
      <w:r w:rsidRPr="00194F95">
        <w:rPr>
          <w:rFonts w:ascii="Arial" w:hAnsi="Arial" w:cs="Arial"/>
          <w:lang w:val="es-CO"/>
        </w:rPr>
        <w:t>Procultura</w:t>
      </w:r>
      <w:proofErr w:type="spellEnd"/>
      <w:r w:rsidRPr="00194F95">
        <w:rPr>
          <w:rFonts w:ascii="Arial" w:hAnsi="Arial" w:cs="Arial"/>
          <w:lang w:val="es-CO"/>
        </w:rPr>
        <w:t>, del Impuesto Nacional al Consumo de la telefonía móvil, de la contribución parafiscal por la ley de espectáculos públicos, entre otras fuentes, que han permitido el fortalecimiento de los procesos y proyectos culturales.</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Por lo anterior, y si bien las demandas del sector superan el presupuesto disponible por las diferentes fuentes, no es apropiado el calificativo de “vergonzoso presupuesto”, dado que los recursos destinados a la cultura deben analizarse integralmente en la concurrencia de todas sus fuentes, que, incluyendo los recursos propios de las entidades territoriales, ascienden a una inversión anual de 2 billones de pesos, aproximadamente.</w:t>
      </w:r>
    </w:p>
    <w:p w:rsidR="00541D5A" w:rsidRDefault="00541D5A"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Ahora bien, con respecto a los incentivos para la distribución y exhibición de cine colombiano, es importante mencionar que:</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  Mediante la ley 814 de 2003 se estimula la distribución y exhibición de películas colombianas en el país, ya que quienes realicen estas actividades con obras colombianas de largometraje en salas de cine, no están obligados a pagar la Cuota para el Desarrollo Cinematográfico por estas películas.</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lastRenderedPageBreak/>
        <w:t xml:space="preserve">-  Dentro del 70% de los recursos del Fondo para el Desarrollo Cinematográfico que se destinan a la creación, producción, coproducción y, en general, a la realización de largometrajes y cortometrajes colombianos, se encuentra la modalidad de “Estímulo integral a la producción y promoción de películas”, creada en 2014, y que ha destinado la suma de 7.600 millones de pesos a cuatro proyectos en los años 2014 y 2015.  Esta convocatoria fue creada bajo la premisa de propiciar la calidad en el diseño de todas las etapas de la producción de un proyecto audiovisual, desde el desarrollo hasta el estreno en salas de cine a nivel nacional y la promoción de la película en eventos internacionales. El productor podrá realizar la planeación global e integral de su proyecto de principio a fin, sin volver a aplicar a estímulos del FDC por etapas. Los ganadores en el 2014 fueron ‘Buenaventura </w:t>
      </w:r>
      <w:proofErr w:type="spellStart"/>
      <w:r w:rsidRPr="00194F95">
        <w:rPr>
          <w:rFonts w:ascii="Arial" w:hAnsi="Arial" w:cs="Arial"/>
          <w:lang w:val="es-CO"/>
        </w:rPr>
        <w:t>Mon</w:t>
      </w:r>
      <w:proofErr w:type="spellEnd"/>
      <w:r w:rsidRPr="00194F95">
        <w:rPr>
          <w:rFonts w:ascii="Arial" w:hAnsi="Arial" w:cs="Arial"/>
          <w:lang w:val="es-CO"/>
        </w:rPr>
        <w:t xml:space="preserve"> </w:t>
      </w:r>
      <w:proofErr w:type="spellStart"/>
      <w:r w:rsidRPr="00194F95">
        <w:rPr>
          <w:rFonts w:ascii="Arial" w:hAnsi="Arial" w:cs="Arial"/>
          <w:lang w:val="es-CO"/>
        </w:rPr>
        <w:t>Amour</w:t>
      </w:r>
      <w:proofErr w:type="spellEnd"/>
      <w:r w:rsidRPr="00194F95">
        <w:rPr>
          <w:rFonts w:ascii="Arial" w:hAnsi="Arial" w:cs="Arial"/>
          <w:lang w:val="es-CO"/>
        </w:rPr>
        <w:t xml:space="preserve">’ de </w:t>
      </w:r>
      <w:proofErr w:type="spellStart"/>
      <w:r w:rsidRPr="00194F95">
        <w:rPr>
          <w:rFonts w:ascii="Arial" w:hAnsi="Arial" w:cs="Arial"/>
          <w:lang w:val="es-CO"/>
        </w:rPr>
        <w:t>Mon</w:t>
      </w:r>
      <w:proofErr w:type="spellEnd"/>
      <w:r w:rsidRPr="00194F95">
        <w:rPr>
          <w:rFonts w:ascii="Arial" w:hAnsi="Arial" w:cs="Arial"/>
          <w:lang w:val="es-CO"/>
        </w:rPr>
        <w:t xml:space="preserve"> </w:t>
      </w:r>
      <w:proofErr w:type="spellStart"/>
      <w:r w:rsidRPr="00194F95">
        <w:rPr>
          <w:rFonts w:ascii="Arial" w:hAnsi="Arial" w:cs="Arial"/>
          <w:lang w:val="es-CO"/>
        </w:rPr>
        <w:t>Amour</w:t>
      </w:r>
      <w:proofErr w:type="spellEnd"/>
      <w:r w:rsidRPr="00194F95">
        <w:rPr>
          <w:rFonts w:ascii="Arial" w:hAnsi="Arial" w:cs="Arial"/>
          <w:lang w:val="es-CO"/>
        </w:rPr>
        <w:t xml:space="preserve"> Producciones (Jorge Navas), y ‘Pájaros de Verano’ de </w:t>
      </w:r>
      <w:proofErr w:type="spellStart"/>
      <w:r w:rsidRPr="00194F95">
        <w:rPr>
          <w:rFonts w:ascii="Arial" w:hAnsi="Arial" w:cs="Arial"/>
          <w:lang w:val="es-CO"/>
        </w:rPr>
        <w:t>Blond</w:t>
      </w:r>
      <w:proofErr w:type="spellEnd"/>
      <w:r w:rsidRPr="00194F95">
        <w:rPr>
          <w:rFonts w:ascii="Arial" w:hAnsi="Arial" w:cs="Arial"/>
          <w:lang w:val="es-CO"/>
        </w:rPr>
        <w:t xml:space="preserve"> </w:t>
      </w:r>
      <w:proofErr w:type="spellStart"/>
      <w:r w:rsidRPr="00194F95">
        <w:rPr>
          <w:rFonts w:ascii="Arial" w:hAnsi="Arial" w:cs="Arial"/>
          <w:lang w:val="es-CO"/>
        </w:rPr>
        <w:t>Indian</w:t>
      </w:r>
      <w:proofErr w:type="spellEnd"/>
      <w:r w:rsidRPr="00194F95">
        <w:rPr>
          <w:rFonts w:ascii="Arial" w:hAnsi="Arial" w:cs="Arial"/>
          <w:lang w:val="es-CO"/>
        </w:rPr>
        <w:t xml:space="preserve"> Films (Ciro Guerra) y en el 2015 ‘Niña Errante’ de Día </w:t>
      </w:r>
      <w:proofErr w:type="spellStart"/>
      <w:r w:rsidRPr="00194F95">
        <w:rPr>
          <w:rFonts w:ascii="Arial" w:hAnsi="Arial" w:cs="Arial"/>
          <w:lang w:val="es-CO"/>
        </w:rPr>
        <w:t>Fragma</w:t>
      </w:r>
      <w:proofErr w:type="spellEnd"/>
      <w:r w:rsidRPr="00194F95">
        <w:rPr>
          <w:rFonts w:ascii="Arial" w:hAnsi="Arial" w:cs="Arial"/>
          <w:lang w:val="es-CO"/>
        </w:rPr>
        <w:t xml:space="preserve"> Fábrica de Película LTDA (Rubén Mendoza) y ‘Doble’ de Proyectil SAS  (Ricardo Gabriel), cada uno recibió un monto de mil novecientos millones de pesos ($1.900.000.000).</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 El Fondo para el Desarrollo Cinematográfico también cuenta con todo un mecanismo de apoyo a la promoción, la distribución y la exhibición de largometrajes a través de la convocatoria de Estímulos Automáticos. Solo en 2015, 259 proyectos se beneficiaron con más de 4.900 millones de pesos, en modalidades de promoción y participación internacional.</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Un aspecto claramente asociado al consumo de cine nacional es el referido a la formación de públicos. Además de contar con un modelo ejemplar para apoyar la producción de cine nacional, se cuenta también con una serie de mecanismos de apoyo a la formación de públicos y realizadores, mediante los cuales se promueve el debate cinematográfico, se apoya el fortalecimiento de muestras y festivales de cine, y se propende por la internacionalización de la cinematografía nacional a través de múltiples estrategias. Se destacan las siguientes actividades:</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   La convocatoria de formación de públicos a través de festivales, entregó más de 329 millones a 18 proyectos de muestras y festivales de cine del país.</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t xml:space="preserve">-   La Dirección de Cinematografía del Ministerio de Cultura adelanta procesos de formación de públicos como el Programa Colombia de Película, </w:t>
      </w:r>
      <w:proofErr w:type="spellStart"/>
      <w:r w:rsidRPr="00194F95">
        <w:rPr>
          <w:rFonts w:ascii="Arial" w:hAnsi="Arial" w:cs="Arial"/>
          <w:lang w:val="es-CO"/>
        </w:rPr>
        <w:t>Micineaccesible</w:t>
      </w:r>
      <w:proofErr w:type="spellEnd"/>
      <w:r w:rsidRPr="00194F95">
        <w:rPr>
          <w:rFonts w:ascii="Arial" w:hAnsi="Arial" w:cs="Arial"/>
          <w:lang w:val="es-CO"/>
        </w:rPr>
        <w:t xml:space="preserve"> y la Semana del Cine Colombiano, que ha logrado que la cinematografía nacional llegue a espacios donde nunca hubiera podido ser exhibida. Por otra parte, fomenta la integración de las regiones y la circulación de cine a través de la plataforma VOD Retina Latina que con menos de 1 año al aire ya tiene más de 7.500 usuarios. </w:t>
      </w:r>
    </w:p>
    <w:p w:rsidR="00194F95" w:rsidRPr="00194F95" w:rsidRDefault="00194F95" w:rsidP="00194F95">
      <w:pPr>
        <w:jc w:val="both"/>
        <w:rPr>
          <w:rFonts w:ascii="Arial" w:hAnsi="Arial" w:cs="Arial"/>
          <w:lang w:val="es-CO"/>
        </w:rPr>
      </w:pPr>
    </w:p>
    <w:p w:rsidR="00194F95" w:rsidRDefault="00194F95" w:rsidP="00194F95">
      <w:pPr>
        <w:jc w:val="both"/>
        <w:rPr>
          <w:rFonts w:ascii="Arial" w:hAnsi="Arial" w:cs="Arial"/>
          <w:lang w:val="es-CO"/>
        </w:rPr>
      </w:pPr>
      <w:r w:rsidRPr="00194F95">
        <w:rPr>
          <w:rFonts w:ascii="Arial" w:hAnsi="Arial" w:cs="Arial"/>
          <w:lang w:val="es-CO"/>
        </w:rPr>
        <w:lastRenderedPageBreak/>
        <w:t xml:space="preserve">El conjunto de mecanismos de apoyo al cine ha permitido que Colombia no haya llegado al punto extremo de necesitar una cuota de pantalla. Los exhibidores tienen sus puertas abiertas al cine colombiano. La libertad de </w:t>
      </w:r>
      <w:bookmarkStart w:id="0" w:name="_GoBack"/>
      <w:bookmarkEnd w:id="0"/>
      <w:r w:rsidRPr="00194F95">
        <w:rPr>
          <w:rFonts w:ascii="Arial" w:hAnsi="Arial" w:cs="Arial"/>
          <w:lang w:val="es-CO"/>
        </w:rPr>
        <w:t>distribución cinematográfica requiere de libertad de circulación de obras en las pantallas, por lo que generalmente estas cuotas tienden a desaparecer en países que las han implementado.</w:t>
      </w:r>
    </w:p>
    <w:p w:rsidR="00194F95" w:rsidRPr="00194F95" w:rsidRDefault="00194F95" w:rsidP="00194F95">
      <w:pPr>
        <w:jc w:val="both"/>
        <w:rPr>
          <w:rFonts w:ascii="Arial" w:hAnsi="Arial" w:cs="Arial"/>
          <w:lang w:val="es-CO"/>
        </w:rPr>
      </w:pPr>
    </w:p>
    <w:p w:rsidR="00194F95" w:rsidRPr="00194F95" w:rsidRDefault="00194F95" w:rsidP="00194F95">
      <w:pPr>
        <w:jc w:val="both"/>
        <w:rPr>
          <w:rFonts w:ascii="Arial" w:hAnsi="Arial" w:cs="Arial"/>
          <w:lang w:val="es-CO"/>
        </w:rPr>
      </w:pPr>
      <w:r w:rsidRPr="00194F95">
        <w:rPr>
          <w:rFonts w:ascii="Arial" w:hAnsi="Arial" w:cs="Arial"/>
          <w:lang w:val="es-CO"/>
        </w:rPr>
        <w:t>De esta forma, el Ministerio de Cultura fomenta estrategias que, a diferencia de la imposición que genera una cuota de pantalla, incentivan la exhibición de películas colombianas en salas de cine, identificando nuevos públicos y ayudando a que la cinematografía sea vista como un bien cultural que genera diversidad, identidad nacional y soberanía cultural. Estas estrategias e incentivos, son los que realmente permiten lograr una simetría en el negocio de la exhibición y, fundamentalmente, de la distribución cinematográfica, en donde se constituyen también apoyos a la divulgación del patrimonio audiovisual, garantizando presencia comercial, así como el derecho al libre acceso del público.</w:t>
      </w:r>
    </w:p>
    <w:p w:rsidR="00ED7F4E" w:rsidRPr="00ED7F4E" w:rsidRDefault="00ED7F4E" w:rsidP="00ED7F4E">
      <w:pPr>
        <w:jc w:val="both"/>
        <w:rPr>
          <w:rFonts w:ascii="Arial" w:hAnsi="Arial" w:cs="Arial"/>
          <w:sz w:val="22"/>
          <w:szCs w:val="22"/>
          <w:lang w:val="es-CO"/>
        </w:rPr>
      </w:pPr>
    </w:p>
    <w:p w:rsidR="00ED7F4E" w:rsidRDefault="00ED7F4E" w:rsidP="00ED7F4E">
      <w:pPr>
        <w:jc w:val="both"/>
        <w:rPr>
          <w:rFonts w:ascii="Arial" w:hAnsi="Arial" w:cs="Arial"/>
          <w:lang w:val="es-CO"/>
        </w:rPr>
      </w:pPr>
    </w:p>
    <w:p w:rsidR="00ED7F4E" w:rsidRPr="00ED7F4E" w:rsidRDefault="00ED7F4E" w:rsidP="00ED7F4E">
      <w:pPr>
        <w:jc w:val="both"/>
        <w:rPr>
          <w:rFonts w:ascii="Arial" w:hAnsi="Arial" w:cs="Arial"/>
          <w:lang w:val="es-CO"/>
        </w:rPr>
      </w:pPr>
      <w:r w:rsidRPr="00ED7F4E">
        <w:rPr>
          <w:rFonts w:ascii="Arial" w:hAnsi="Arial" w:cs="Arial"/>
          <w:lang w:val="es-CO"/>
        </w:rPr>
        <w:t>Cordialmente,</w:t>
      </w:r>
    </w:p>
    <w:p w:rsidR="00ED7F4E" w:rsidRPr="00ED7F4E" w:rsidRDefault="00ED7F4E" w:rsidP="00ED7F4E">
      <w:pPr>
        <w:jc w:val="both"/>
        <w:rPr>
          <w:rFonts w:ascii="Arial" w:hAnsi="Arial" w:cs="Arial"/>
          <w:color w:val="1F497D"/>
          <w:lang w:val="es-CO"/>
        </w:rPr>
      </w:pPr>
    </w:p>
    <w:p w:rsidR="00ED7F4E" w:rsidRDefault="00ED7F4E" w:rsidP="00ED7F4E">
      <w:pPr>
        <w:jc w:val="both"/>
        <w:rPr>
          <w:rFonts w:ascii="Arial" w:hAnsi="Arial" w:cs="Arial"/>
          <w:b/>
          <w:lang w:val="es-CO"/>
        </w:rPr>
      </w:pPr>
      <w:r>
        <w:rPr>
          <w:rFonts w:ascii="Arial" w:hAnsi="Arial" w:cs="Arial"/>
          <w:b/>
          <w:noProof/>
          <w:lang w:val="es-CO" w:eastAsia="es-CO"/>
        </w:rPr>
        <w:drawing>
          <wp:inline distT="0" distB="0" distL="0" distR="0">
            <wp:extent cx="1781175" cy="251821"/>
            <wp:effectExtent l="19050" t="0" r="0" b="0"/>
            <wp:docPr id="2" name="Imagen 1" descr="C:\Users\cjauregui\Desktop\PRENSA 2015\CONTRATACION 2015\firma_Ibo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jauregui\Desktop\PRENSA 2015\CONTRATACION 2015\firma_Ibon2.png"/>
                    <pic:cNvPicPr>
                      <a:picLocks noChangeAspect="1" noChangeArrowheads="1"/>
                    </pic:cNvPicPr>
                  </pic:nvPicPr>
                  <pic:blipFill>
                    <a:blip r:embed="rId7"/>
                    <a:srcRect/>
                    <a:stretch>
                      <a:fillRect/>
                    </a:stretch>
                  </pic:blipFill>
                  <pic:spPr bwMode="auto">
                    <a:xfrm>
                      <a:off x="0" y="0"/>
                      <a:ext cx="1784795" cy="252333"/>
                    </a:xfrm>
                    <a:prstGeom prst="rect">
                      <a:avLst/>
                    </a:prstGeom>
                    <a:noFill/>
                    <a:ln w="9525">
                      <a:noFill/>
                      <a:miter lim="800000"/>
                      <a:headEnd/>
                      <a:tailEnd/>
                    </a:ln>
                  </pic:spPr>
                </pic:pic>
              </a:graphicData>
            </a:graphic>
          </wp:inline>
        </w:drawing>
      </w:r>
    </w:p>
    <w:p w:rsidR="00ED7F4E" w:rsidRDefault="00ED7F4E" w:rsidP="00ED7F4E">
      <w:pPr>
        <w:jc w:val="both"/>
        <w:rPr>
          <w:rFonts w:ascii="Arial" w:hAnsi="Arial" w:cs="Arial"/>
          <w:b/>
          <w:lang w:val="es-CO"/>
        </w:rPr>
      </w:pPr>
    </w:p>
    <w:p w:rsidR="00ED7F4E" w:rsidRPr="00ED7F4E" w:rsidRDefault="00ED7F4E" w:rsidP="00ED7F4E">
      <w:pPr>
        <w:jc w:val="both"/>
        <w:rPr>
          <w:rFonts w:ascii="Arial" w:hAnsi="Arial" w:cs="Arial"/>
          <w:b/>
          <w:lang w:val="es-CO"/>
        </w:rPr>
      </w:pPr>
      <w:r w:rsidRPr="00ED7F4E">
        <w:rPr>
          <w:rFonts w:ascii="Arial" w:hAnsi="Arial" w:cs="Arial"/>
          <w:b/>
          <w:lang w:val="es-CO"/>
        </w:rPr>
        <w:t>Ibon Munévar G.</w:t>
      </w:r>
    </w:p>
    <w:p w:rsidR="00ED7F4E" w:rsidRPr="00ED7F4E" w:rsidRDefault="00ED7F4E" w:rsidP="00ED7F4E">
      <w:pPr>
        <w:jc w:val="both"/>
        <w:rPr>
          <w:rFonts w:ascii="Arial" w:hAnsi="Arial" w:cs="Arial"/>
          <w:lang w:val="es-CO"/>
        </w:rPr>
      </w:pPr>
      <w:r w:rsidRPr="00ED7F4E">
        <w:rPr>
          <w:rFonts w:ascii="Arial" w:hAnsi="Arial" w:cs="Arial"/>
          <w:lang w:val="es-CO"/>
        </w:rPr>
        <w:t>Coordinadora de Divulgación y Prensa</w:t>
      </w:r>
    </w:p>
    <w:p w:rsidR="00ED7F4E" w:rsidRDefault="00ED7F4E" w:rsidP="00ED7F4E">
      <w:pPr>
        <w:jc w:val="both"/>
        <w:rPr>
          <w:rFonts w:ascii="Arial" w:hAnsi="Arial" w:cs="Arial"/>
        </w:rPr>
      </w:pPr>
      <w:r>
        <w:rPr>
          <w:rFonts w:ascii="Arial" w:hAnsi="Arial" w:cs="Arial"/>
        </w:rPr>
        <w:t>Ministerio de Cultura</w:t>
      </w:r>
    </w:p>
    <w:p w:rsidR="00ED7F4E" w:rsidRDefault="00ED7F4E" w:rsidP="00ED7F4E">
      <w:pPr>
        <w:jc w:val="both"/>
        <w:rPr>
          <w:rFonts w:ascii="Arial" w:hAnsi="Arial" w:cs="Arial"/>
          <w:sz w:val="22"/>
          <w:szCs w:val="22"/>
        </w:rPr>
      </w:pPr>
    </w:p>
    <w:p w:rsidR="00ED7F4E" w:rsidRDefault="00ED7F4E" w:rsidP="00ED7F4E">
      <w:pPr>
        <w:rPr>
          <w:rFonts w:ascii="Calibri" w:hAnsi="Calibri" w:cs="Times New Roman"/>
        </w:rPr>
      </w:pPr>
    </w:p>
    <w:p w:rsidR="005C7CD4" w:rsidRPr="0081631D" w:rsidRDefault="005C7CD4" w:rsidP="005C7CD4">
      <w:pPr>
        <w:jc w:val="both"/>
        <w:rPr>
          <w:rFonts w:ascii="Arial" w:hAnsi="Arial" w:cs="Arial"/>
          <w:lang w:val="es-CO"/>
        </w:rPr>
      </w:pPr>
    </w:p>
    <w:sectPr w:rsidR="005C7CD4" w:rsidRPr="0081631D" w:rsidSect="00F513A1">
      <w:headerReference w:type="default" r:id="rId8"/>
      <w:footerReference w:type="default" r:id="rId9"/>
      <w:pgSz w:w="12240" w:h="15840"/>
      <w:pgMar w:top="1417" w:right="2034" w:bottom="1417" w:left="1701" w:header="426" w:footer="54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DB2" w:rsidRDefault="00885DB2" w:rsidP="00CD6908">
      <w:r>
        <w:separator/>
      </w:r>
    </w:p>
  </w:endnote>
  <w:endnote w:type="continuationSeparator" w:id="0">
    <w:p w:rsidR="00885DB2" w:rsidRDefault="00885DB2" w:rsidP="00CD69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00000003" w:usb1="00000000" w:usb2="00000000" w:usb3="00000000" w:csb0="00000001" w:csb1="00000000"/>
  </w:font>
  <w:font w:name="Futura Std Heavy">
    <w:altName w:val="Segoe UI Semibold"/>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F81" w:rsidRDefault="00153F81" w:rsidP="00110F9F">
    <w:pPr>
      <w:pStyle w:val="Piedepgina"/>
    </w:pPr>
  </w:p>
  <w:p w:rsidR="00110F9F" w:rsidRPr="00F513A1" w:rsidRDefault="00110F9F" w:rsidP="00153F81">
    <w:pPr>
      <w:pStyle w:val="Piedepgina"/>
      <w:ind w:left="-993"/>
      <w:rPr>
        <w:rFonts w:ascii="Futura Std Book" w:hAnsi="Futura Std Book"/>
        <w:sz w:val="18"/>
        <w:szCs w:val="18"/>
      </w:rPr>
    </w:pPr>
    <w:r w:rsidRPr="00F513A1">
      <w:rPr>
        <w:rFonts w:ascii="Futura Std Book" w:hAnsi="Futura Std Book"/>
        <w:sz w:val="18"/>
        <w:szCs w:val="18"/>
      </w:rPr>
      <w:t>Carrera 8 Nº 8-09</w:t>
    </w:r>
  </w:p>
  <w:p w:rsidR="00110F9F" w:rsidRPr="00F513A1" w:rsidRDefault="00110F9F" w:rsidP="00153F81">
    <w:pPr>
      <w:pStyle w:val="Piedepgina"/>
      <w:ind w:left="-993"/>
      <w:rPr>
        <w:rFonts w:ascii="Futura Std Book" w:hAnsi="Futura Std Book"/>
        <w:sz w:val="18"/>
        <w:szCs w:val="18"/>
      </w:rPr>
    </w:pPr>
    <w:r w:rsidRPr="00F513A1">
      <w:rPr>
        <w:rFonts w:ascii="Futura Std Heavy" w:hAnsi="Futura Std Heavy"/>
        <w:sz w:val="18"/>
        <w:szCs w:val="18"/>
      </w:rPr>
      <w:t>Conmutador:</w:t>
    </w:r>
    <w:r w:rsidRPr="00F513A1">
      <w:rPr>
        <w:rFonts w:ascii="Futura Std Book" w:hAnsi="Futura Std Book"/>
        <w:sz w:val="18"/>
        <w:szCs w:val="18"/>
      </w:rPr>
      <w:t xml:space="preserve"> 3424100</w:t>
    </w:r>
  </w:p>
  <w:p w:rsidR="00110F9F" w:rsidRPr="00F513A1" w:rsidRDefault="00110F9F" w:rsidP="00153F81">
    <w:pPr>
      <w:pStyle w:val="Piedepgina"/>
      <w:ind w:left="-993"/>
      <w:rPr>
        <w:rFonts w:ascii="Futura Std Book" w:hAnsi="Futura Std Book"/>
        <w:sz w:val="18"/>
        <w:szCs w:val="18"/>
      </w:rPr>
    </w:pPr>
    <w:r w:rsidRPr="00F513A1">
      <w:rPr>
        <w:rFonts w:ascii="Futura Std Heavy" w:hAnsi="Futura Std Heavy"/>
        <w:sz w:val="18"/>
        <w:szCs w:val="18"/>
      </w:rPr>
      <w:t>Internet:</w:t>
    </w:r>
    <w:r w:rsidRPr="00F513A1">
      <w:rPr>
        <w:rFonts w:ascii="Futura Std Book" w:hAnsi="Futura Std Book"/>
        <w:sz w:val="18"/>
        <w:szCs w:val="18"/>
      </w:rPr>
      <w:t xml:space="preserve"> http://</w:t>
    </w:r>
    <w:r w:rsidR="00153F81" w:rsidRPr="00F513A1">
      <w:rPr>
        <w:rFonts w:ascii="Futura Std Book" w:hAnsi="Futura Std Book"/>
        <w:sz w:val="18"/>
        <w:szCs w:val="18"/>
      </w:rPr>
      <w:t>www.mincultura.gov.co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DB2" w:rsidRDefault="00885DB2" w:rsidP="00CD6908">
      <w:r>
        <w:separator/>
      </w:r>
    </w:p>
  </w:footnote>
  <w:footnote w:type="continuationSeparator" w:id="0">
    <w:p w:rsidR="00885DB2" w:rsidRDefault="00885DB2" w:rsidP="00CD69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0F9F" w:rsidRDefault="00110F9F" w:rsidP="00F513A1">
    <w:pPr>
      <w:pStyle w:val="Encabezado"/>
      <w:tabs>
        <w:tab w:val="clear" w:pos="8838"/>
        <w:tab w:val="right" w:pos="9498"/>
      </w:tabs>
      <w:jc w:val="center"/>
    </w:pPr>
    <w:r>
      <w:rPr>
        <w:noProof/>
        <w:lang w:val="es-ES" w:eastAsia="es-ES"/>
      </w:rPr>
      <w:tab/>
    </w:r>
    <w:r>
      <w:rPr>
        <w:noProof/>
        <w:lang w:val="es-ES" w:eastAsia="es-ES"/>
      </w:rPr>
      <w:tab/>
      <w:t xml:space="preserve">           </w:t>
    </w:r>
    <w:r>
      <w:rPr>
        <w:noProof/>
        <w:lang w:eastAsia="es-CO"/>
      </w:rPr>
      <w:drawing>
        <wp:inline distT="0" distB="0" distL="0" distR="0">
          <wp:extent cx="1755140" cy="117962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MA GOBIERNO Y MIINCULTURA-01.png"/>
                  <pic:cNvPicPr/>
                </pic:nvPicPr>
                <pic:blipFill>
                  <a:blip r:embed="rId1">
                    <a:extLst>
                      <a:ext uri="{28A0092B-C50C-407E-A947-70E740481C1C}">
                        <a14:useLocalDpi xmlns:a14="http://schemas.microsoft.com/office/drawing/2010/main" val="0"/>
                      </a:ext>
                    </a:extLst>
                  </a:blip>
                  <a:stretch>
                    <a:fillRect/>
                  </a:stretch>
                </pic:blipFill>
                <pic:spPr>
                  <a:xfrm>
                    <a:off x="0" y="0"/>
                    <a:ext cx="1755833" cy="118009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908"/>
    <w:rsid w:val="000B28BE"/>
    <w:rsid w:val="000F06F3"/>
    <w:rsid w:val="00110F9F"/>
    <w:rsid w:val="00153F81"/>
    <w:rsid w:val="00194F95"/>
    <w:rsid w:val="00195CDA"/>
    <w:rsid w:val="001B2267"/>
    <w:rsid w:val="001D06A5"/>
    <w:rsid w:val="001E6A54"/>
    <w:rsid w:val="00235B76"/>
    <w:rsid w:val="00284CAB"/>
    <w:rsid w:val="002A7C85"/>
    <w:rsid w:val="00347B74"/>
    <w:rsid w:val="003614FD"/>
    <w:rsid w:val="00370FD8"/>
    <w:rsid w:val="00377C66"/>
    <w:rsid w:val="003B208C"/>
    <w:rsid w:val="003F250C"/>
    <w:rsid w:val="003F5145"/>
    <w:rsid w:val="004A3849"/>
    <w:rsid w:val="005245DC"/>
    <w:rsid w:val="00541D5A"/>
    <w:rsid w:val="0055296D"/>
    <w:rsid w:val="005B7758"/>
    <w:rsid w:val="005C7CD4"/>
    <w:rsid w:val="006F207D"/>
    <w:rsid w:val="007260A5"/>
    <w:rsid w:val="00727EDF"/>
    <w:rsid w:val="00754431"/>
    <w:rsid w:val="0077490D"/>
    <w:rsid w:val="007E4D16"/>
    <w:rsid w:val="0081631D"/>
    <w:rsid w:val="008718D3"/>
    <w:rsid w:val="00885DB2"/>
    <w:rsid w:val="008F6FC6"/>
    <w:rsid w:val="00A748C2"/>
    <w:rsid w:val="00AA24D8"/>
    <w:rsid w:val="00B02F38"/>
    <w:rsid w:val="00B03366"/>
    <w:rsid w:val="00BD5E4D"/>
    <w:rsid w:val="00BE76BC"/>
    <w:rsid w:val="00C71ADF"/>
    <w:rsid w:val="00CD6908"/>
    <w:rsid w:val="00CE153E"/>
    <w:rsid w:val="00D03F91"/>
    <w:rsid w:val="00D35112"/>
    <w:rsid w:val="00D460AB"/>
    <w:rsid w:val="00DE69C5"/>
    <w:rsid w:val="00E344BB"/>
    <w:rsid w:val="00E70D0A"/>
    <w:rsid w:val="00ED7F4E"/>
    <w:rsid w:val="00F15BFE"/>
    <w:rsid w:val="00F372AA"/>
    <w:rsid w:val="00F513A1"/>
    <w:rsid w:val="00F55996"/>
    <w:rsid w:val="00FF77F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D0A"/>
    <w:pPr>
      <w:spacing w:after="0" w:line="240" w:lineRule="auto"/>
    </w:pPr>
    <w:rPr>
      <w:rFonts w:eastAsiaTheme="minorEastAsia"/>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D6908"/>
    <w:pPr>
      <w:tabs>
        <w:tab w:val="center" w:pos="4419"/>
        <w:tab w:val="right" w:pos="8838"/>
      </w:tabs>
    </w:pPr>
    <w:rPr>
      <w:rFonts w:eastAsiaTheme="minorHAnsi"/>
      <w:sz w:val="22"/>
      <w:szCs w:val="22"/>
      <w:lang w:val="es-CO"/>
    </w:rPr>
  </w:style>
  <w:style w:type="character" w:customStyle="1" w:styleId="EncabezadoCar">
    <w:name w:val="Encabezado Car"/>
    <w:basedOn w:val="Fuentedeprrafopredeter"/>
    <w:link w:val="Encabezado"/>
    <w:rsid w:val="00CD6908"/>
  </w:style>
  <w:style w:type="paragraph" w:styleId="Piedepgina">
    <w:name w:val="footer"/>
    <w:basedOn w:val="Normal"/>
    <w:link w:val="PiedepginaCar"/>
    <w:uiPriority w:val="99"/>
    <w:unhideWhenUsed/>
    <w:rsid w:val="00CD6908"/>
    <w:pPr>
      <w:tabs>
        <w:tab w:val="center" w:pos="4419"/>
        <w:tab w:val="right" w:pos="8838"/>
      </w:tabs>
    </w:pPr>
    <w:rPr>
      <w:rFonts w:eastAsiaTheme="minorHAnsi"/>
      <w:sz w:val="22"/>
      <w:szCs w:val="22"/>
      <w:lang w:val="es-CO"/>
    </w:rPr>
  </w:style>
  <w:style w:type="character" w:customStyle="1" w:styleId="PiedepginaCar">
    <w:name w:val="Pie de página Car"/>
    <w:basedOn w:val="Fuentedeprrafopredeter"/>
    <w:link w:val="Piedepgina"/>
    <w:uiPriority w:val="99"/>
    <w:rsid w:val="00CD6908"/>
  </w:style>
  <w:style w:type="paragraph" w:styleId="NormalWeb">
    <w:name w:val="Normal (Web)"/>
    <w:basedOn w:val="Normal"/>
    <w:uiPriority w:val="99"/>
    <w:semiHidden/>
    <w:unhideWhenUsed/>
    <w:rsid w:val="00CD6908"/>
    <w:pPr>
      <w:spacing w:before="100" w:beforeAutospacing="1" w:after="100" w:afterAutospacing="1"/>
    </w:pPr>
    <w:rPr>
      <w:rFonts w:ascii="Times New Roman" w:hAnsi="Times New Roman" w:cs="Times New Roman"/>
      <w:lang w:eastAsia="es-CO"/>
    </w:rPr>
  </w:style>
  <w:style w:type="paragraph" w:styleId="Textodeglobo">
    <w:name w:val="Balloon Text"/>
    <w:basedOn w:val="Normal"/>
    <w:link w:val="TextodegloboCar"/>
    <w:uiPriority w:val="99"/>
    <w:semiHidden/>
    <w:unhideWhenUsed/>
    <w:rsid w:val="008718D3"/>
    <w:rPr>
      <w:rFonts w:ascii="Tahoma" w:eastAsiaTheme="minorHAnsi" w:hAnsi="Tahoma" w:cs="Tahoma"/>
      <w:sz w:val="16"/>
      <w:szCs w:val="16"/>
      <w:lang w:val="es-CO"/>
    </w:rPr>
  </w:style>
  <w:style w:type="character" w:customStyle="1" w:styleId="TextodegloboCar">
    <w:name w:val="Texto de globo Car"/>
    <w:basedOn w:val="Fuentedeprrafopredeter"/>
    <w:link w:val="Textodeglobo"/>
    <w:uiPriority w:val="99"/>
    <w:semiHidden/>
    <w:rsid w:val="008718D3"/>
    <w:rPr>
      <w:rFonts w:ascii="Tahoma" w:hAnsi="Tahoma" w:cs="Tahoma"/>
      <w:sz w:val="16"/>
      <w:szCs w:val="16"/>
    </w:rPr>
  </w:style>
  <w:style w:type="paragraph" w:styleId="Textoindependiente">
    <w:name w:val="Body Text"/>
    <w:basedOn w:val="Normal"/>
    <w:link w:val="TextoindependienteCar"/>
    <w:rsid w:val="005C7CD4"/>
    <w:pPr>
      <w:suppressAutoHyphens/>
      <w:spacing w:after="120"/>
    </w:pPr>
    <w:rPr>
      <w:rFonts w:ascii="Times New Roman" w:eastAsia="Times New Roman" w:hAnsi="Times New Roman" w:cs="Times New Roman"/>
      <w:sz w:val="20"/>
      <w:szCs w:val="20"/>
      <w:lang w:val="es-CO" w:eastAsia="ar-SA"/>
    </w:rPr>
  </w:style>
  <w:style w:type="character" w:customStyle="1" w:styleId="TextoindependienteCar">
    <w:name w:val="Texto independiente Car"/>
    <w:basedOn w:val="Fuentedeprrafopredeter"/>
    <w:link w:val="Textoindependiente"/>
    <w:rsid w:val="005C7CD4"/>
    <w:rPr>
      <w:rFonts w:ascii="Times New Roman" w:eastAsia="Times New Roman" w:hAnsi="Times New Roman" w:cs="Times New Roman"/>
      <w:sz w:val="20"/>
      <w:szCs w:val="20"/>
      <w:lang w:eastAsia="ar-SA"/>
    </w:rPr>
  </w:style>
  <w:style w:type="paragraph" w:styleId="Prrafodelista">
    <w:name w:val="List Paragraph"/>
    <w:basedOn w:val="Normal"/>
    <w:uiPriority w:val="34"/>
    <w:qFormat/>
    <w:rsid w:val="0081631D"/>
    <w:pPr>
      <w:ind w:left="720"/>
      <w:contextualSpacing/>
    </w:pPr>
    <w:rPr>
      <w:lang w:val="es-ES_tradnl"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D0A"/>
    <w:pPr>
      <w:spacing w:after="0" w:line="240" w:lineRule="auto"/>
    </w:pPr>
    <w:rPr>
      <w:rFonts w:eastAsiaTheme="minorEastAsia"/>
      <w:sz w:val="24"/>
      <w:szCs w:val="24"/>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D6908"/>
    <w:pPr>
      <w:tabs>
        <w:tab w:val="center" w:pos="4419"/>
        <w:tab w:val="right" w:pos="8838"/>
      </w:tabs>
    </w:pPr>
    <w:rPr>
      <w:rFonts w:eastAsiaTheme="minorHAnsi"/>
      <w:sz w:val="22"/>
      <w:szCs w:val="22"/>
      <w:lang w:val="es-CO"/>
    </w:rPr>
  </w:style>
  <w:style w:type="character" w:customStyle="1" w:styleId="EncabezadoCar">
    <w:name w:val="Encabezado Car"/>
    <w:basedOn w:val="Fuentedeprrafopredeter"/>
    <w:link w:val="Encabezado"/>
    <w:rsid w:val="00CD6908"/>
  </w:style>
  <w:style w:type="paragraph" w:styleId="Piedepgina">
    <w:name w:val="footer"/>
    <w:basedOn w:val="Normal"/>
    <w:link w:val="PiedepginaCar"/>
    <w:uiPriority w:val="99"/>
    <w:unhideWhenUsed/>
    <w:rsid w:val="00CD6908"/>
    <w:pPr>
      <w:tabs>
        <w:tab w:val="center" w:pos="4419"/>
        <w:tab w:val="right" w:pos="8838"/>
      </w:tabs>
    </w:pPr>
    <w:rPr>
      <w:rFonts w:eastAsiaTheme="minorHAnsi"/>
      <w:sz w:val="22"/>
      <w:szCs w:val="22"/>
      <w:lang w:val="es-CO"/>
    </w:rPr>
  </w:style>
  <w:style w:type="character" w:customStyle="1" w:styleId="PiedepginaCar">
    <w:name w:val="Pie de página Car"/>
    <w:basedOn w:val="Fuentedeprrafopredeter"/>
    <w:link w:val="Piedepgina"/>
    <w:uiPriority w:val="99"/>
    <w:rsid w:val="00CD6908"/>
  </w:style>
  <w:style w:type="paragraph" w:styleId="NormalWeb">
    <w:name w:val="Normal (Web)"/>
    <w:basedOn w:val="Normal"/>
    <w:uiPriority w:val="99"/>
    <w:semiHidden/>
    <w:unhideWhenUsed/>
    <w:rsid w:val="00CD6908"/>
    <w:pPr>
      <w:spacing w:before="100" w:beforeAutospacing="1" w:after="100" w:afterAutospacing="1"/>
    </w:pPr>
    <w:rPr>
      <w:rFonts w:ascii="Times New Roman" w:hAnsi="Times New Roman" w:cs="Times New Roman"/>
      <w:lang w:eastAsia="es-CO"/>
    </w:rPr>
  </w:style>
  <w:style w:type="paragraph" w:styleId="Textodeglobo">
    <w:name w:val="Balloon Text"/>
    <w:basedOn w:val="Normal"/>
    <w:link w:val="TextodegloboCar"/>
    <w:uiPriority w:val="99"/>
    <w:semiHidden/>
    <w:unhideWhenUsed/>
    <w:rsid w:val="008718D3"/>
    <w:rPr>
      <w:rFonts w:ascii="Tahoma" w:eastAsiaTheme="minorHAnsi" w:hAnsi="Tahoma" w:cs="Tahoma"/>
      <w:sz w:val="16"/>
      <w:szCs w:val="16"/>
      <w:lang w:val="es-CO"/>
    </w:rPr>
  </w:style>
  <w:style w:type="character" w:customStyle="1" w:styleId="TextodegloboCar">
    <w:name w:val="Texto de globo Car"/>
    <w:basedOn w:val="Fuentedeprrafopredeter"/>
    <w:link w:val="Textodeglobo"/>
    <w:uiPriority w:val="99"/>
    <w:semiHidden/>
    <w:rsid w:val="008718D3"/>
    <w:rPr>
      <w:rFonts w:ascii="Tahoma" w:hAnsi="Tahoma" w:cs="Tahoma"/>
      <w:sz w:val="16"/>
      <w:szCs w:val="16"/>
    </w:rPr>
  </w:style>
  <w:style w:type="paragraph" w:styleId="Textoindependiente">
    <w:name w:val="Body Text"/>
    <w:basedOn w:val="Normal"/>
    <w:link w:val="TextoindependienteCar"/>
    <w:rsid w:val="005C7CD4"/>
    <w:pPr>
      <w:suppressAutoHyphens/>
      <w:spacing w:after="120"/>
    </w:pPr>
    <w:rPr>
      <w:rFonts w:ascii="Times New Roman" w:eastAsia="Times New Roman" w:hAnsi="Times New Roman" w:cs="Times New Roman"/>
      <w:sz w:val="20"/>
      <w:szCs w:val="20"/>
      <w:lang w:val="es-CO" w:eastAsia="ar-SA"/>
    </w:rPr>
  </w:style>
  <w:style w:type="character" w:customStyle="1" w:styleId="TextoindependienteCar">
    <w:name w:val="Texto independiente Car"/>
    <w:basedOn w:val="Fuentedeprrafopredeter"/>
    <w:link w:val="Textoindependiente"/>
    <w:rsid w:val="005C7CD4"/>
    <w:rPr>
      <w:rFonts w:ascii="Times New Roman" w:eastAsia="Times New Roman" w:hAnsi="Times New Roman" w:cs="Times New Roman"/>
      <w:sz w:val="20"/>
      <w:szCs w:val="20"/>
      <w:lang w:eastAsia="ar-SA"/>
    </w:rPr>
  </w:style>
  <w:style w:type="paragraph" w:styleId="Prrafodelista">
    <w:name w:val="List Paragraph"/>
    <w:basedOn w:val="Normal"/>
    <w:uiPriority w:val="34"/>
    <w:qFormat/>
    <w:rsid w:val="0081631D"/>
    <w:pPr>
      <w:ind w:left="720"/>
      <w:contextualSpacing/>
    </w:pPr>
    <w:rPr>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12886">
      <w:bodyDiv w:val="1"/>
      <w:marLeft w:val="0"/>
      <w:marRight w:val="0"/>
      <w:marTop w:val="0"/>
      <w:marBottom w:val="0"/>
      <w:divBdr>
        <w:top w:val="none" w:sz="0" w:space="0" w:color="auto"/>
        <w:left w:val="none" w:sz="0" w:space="0" w:color="auto"/>
        <w:bottom w:val="none" w:sz="0" w:space="0" w:color="auto"/>
        <w:right w:val="none" w:sz="0" w:space="0" w:color="auto"/>
      </w:divBdr>
    </w:div>
    <w:div w:id="1234466924">
      <w:bodyDiv w:val="1"/>
      <w:marLeft w:val="0"/>
      <w:marRight w:val="0"/>
      <w:marTop w:val="0"/>
      <w:marBottom w:val="0"/>
      <w:divBdr>
        <w:top w:val="none" w:sz="0" w:space="0" w:color="auto"/>
        <w:left w:val="none" w:sz="0" w:space="0" w:color="auto"/>
        <w:bottom w:val="none" w:sz="0" w:space="0" w:color="auto"/>
        <w:right w:val="none" w:sz="0" w:space="0" w:color="auto"/>
      </w:divBdr>
    </w:div>
    <w:div w:id="177328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948</Words>
  <Characters>5218</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Acosta Gutierrez</dc:creator>
  <cp:lastModifiedBy>cjauregui</cp:lastModifiedBy>
  <cp:revision>3</cp:revision>
  <cp:lastPrinted>2015-09-08T20:50:00Z</cp:lastPrinted>
  <dcterms:created xsi:type="dcterms:W3CDTF">2016-07-01T15:57:00Z</dcterms:created>
  <dcterms:modified xsi:type="dcterms:W3CDTF">2016-07-01T15:59:00Z</dcterms:modified>
</cp:coreProperties>
</file>